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3A654F" w:rsidP="003A654F">
      <w:pPr>
        <w:pStyle w:val="Qualificationtitleandcode"/>
        <w:ind w:left="0"/>
      </w:pPr>
      <w:r>
        <w:rPr>
          <w:noProof/>
        </w:rPr>
        <w:t>Diploma of Higher Educ</w:t>
      </w:r>
      <w:r w:rsidR="00446575">
        <w:rPr>
          <w:noProof/>
        </w:rPr>
        <w:t>a</w:t>
      </w:r>
      <w:r>
        <w:rPr>
          <w:noProof/>
        </w:rPr>
        <w:t>tion in</w:t>
      </w:r>
      <w:r w:rsidRPr="00A8007E">
        <w:rPr>
          <w:noProof/>
        </w:rPr>
        <w:t xml:space="preserve"> </w:t>
      </w:r>
      <w:r w:rsidR="00891D6A">
        <w:rPr>
          <w:noProof/>
        </w:rPr>
        <w:t>English Language</w:t>
      </w:r>
      <w:r>
        <w:t xml:space="preserve"> </w:t>
      </w:r>
      <w:r>
        <w:rPr>
          <w:noProof/>
        </w:rPr>
        <w:t>W</w:t>
      </w:r>
      <w:r w:rsidR="00891D6A">
        <w:rPr>
          <w:noProof/>
        </w:rPr>
        <w:t>85</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0F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13"/>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Pr>
                <w:noProof/>
              </w:rPr>
              <w:t xml:space="preserve">Diploma of Higher Education in </w:t>
            </w:r>
            <w:r w:rsidR="00891D6A">
              <w:rPr>
                <w:noProof/>
              </w:rPr>
              <w:t xml:space="preserve">English Language </w:t>
            </w:r>
            <w:r w:rsidRPr="00A044AD">
              <w:t xml:space="preserve">(Qualification Code: </w:t>
            </w:r>
            <w:r>
              <w:t>W</w:t>
            </w:r>
            <w:r w:rsidR="00891D6A">
              <w:t>85</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240</w:t>
                  </w:r>
                  <w:r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1</w:t>
                  </w:r>
                  <w:r w:rsidR="00891D6A">
                    <w:rPr>
                      <w:noProof/>
                    </w:rPr>
                    <w:t>50</w:t>
                  </w:r>
                  <w:r>
                    <w:t xml:space="preserve"> </w:t>
                  </w:r>
                  <w:r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891D6A" w:rsidP="007C5C91">
                  <w:pPr>
                    <w:pStyle w:val="ListParagraph"/>
                    <w:spacing w:after="0" w:line="240" w:lineRule="auto"/>
                    <w:ind w:left="0"/>
                  </w:pPr>
                  <w:r>
                    <w:rPr>
                      <w:noProof/>
                    </w:rPr>
                    <w:t>90</w:t>
                  </w:r>
                  <w:r w:rsidR="003A654F"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3A654F" w:rsidRPr="00A044AD" w:rsidTr="003A654F">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7</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9</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12</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E3326F">
            <w:pPr>
              <w:pStyle w:val="ListParagraph"/>
              <w:spacing w:line="240" w:lineRule="auto"/>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AE7973" w:rsidP="007C5C91">
            <w:pPr>
              <w:pStyle w:val="ListParagraph"/>
              <w:spacing w:after="0" w:line="240" w:lineRule="auto"/>
            </w:pPr>
            <w:hyperlink r:id="rId8" w:history="1">
              <w:r w:rsidR="00E3326F" w:rsidRPr="004D799A">
                <w:rPr>
                  <w:rStyle w:val="Hyperlink"/>
                </w:rPr>
                <w:t>http://www.open.ac.uk/courses/qualifications/w85</w:t>
              </w:r>
            </w:hyperlink>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9" w:history="1">
              <w:r w:rsidR="00E3326F" w:rsidRPr="004D799A">
                <w:rPr>
                  <w:rStyle w:val="Hyperlink"/>
                </w:rPr>
                <w:t>http://www.open.ac.uk/courses/qualifications/w85</w:t>
              </w:r>
            </w:hyperlink>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0"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1" w:history="1">
              <w:r w:rsidR="00E3326F" w:rsidRPr="004D799A">
                <w:rPr>
                  <w:rStyle w:val="Hyperlink"/>
                </w:rPr>
                <w:t>http://www.open.ac.uk/courses/qualifications/w85</w:t>
              </w:r>
            </w:hyperlink>
            <w:r>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12"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3"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4"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wIDlcM2qyFceCiLl/4aJVPeO7K7fPWOvhjfid7fYUcjZx73J+eO8pL1P1kQ1YSU2BLKKNRjJ3sTxl8YSwLeFg==" w:salt="wjlXr36xKBsD/URojAL7W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3A654F"/>
    <w:rsid w:val="00446575"/>
    <w:rsid w:val="007141BB"/>
    <w:rsid w:val="00891D6A"/>
    <w:rsid w:val="00AE7973"/>
    <w:rsid w:val="00B70D8D"/>
    <w:rsid w:val="00D27893"/>
    <w:rsid w:val="00E3326F"/>
    <w:rsid w:val="00FA7037"/>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w85"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ourses/open-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qualifications/w8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qualifications/w85"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7319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3</cp:revision>
  <dcterms:created xsi:type="dcterms:W3CDTF">2019-07-25T13:31:00Z</dcterms:created>
  <dcterms:modified xsi:type="dcterms:W3CDTF">2019-07-25T14:06:00Z</dcterms:modified>
</cp:coreProperties>
</file>